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rebuchet MS" w:eastAsia="Trebuchet MS" w:hAnsi="Trebuchet MS" w:cs="Trebuchet MS"/>
          <w:sz w:val="22"/>
          <w:szCs w:val="22"/>
          <w:u w:val="single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  <w:u w:val="single"/>
        </w:rPr>
        <w:t xml:space="preserve">Zał. </w:t>
      </w: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Nr 6 do Uchwały Zarządu PZKosz nr </w:t>
      </w:r>
      <w:r w:rsidR="00F84862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151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rebuchet MS" w:eastAsia="Trebuchet MS" w:hAnsi="Trebuchet MS" w:cs="Trebuchet MS"/>
          <w:sz w:val="22"/>
          <w:szCs w:val="22"/>
          <w:u w:val="single"/>
        </w:rPr>
      </w:pP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sz w:val="22"/>
          <w:szCs w:val="22"/>
          <w:u w:val="single"/>
        </w:rPr>
      </w:pP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REGULAMIN CYKLU ROZGRYWEK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sz w:val="22"/>
          <w:szCs w:val="22"/>
          <w:u w:val="single"/>
        </w:rPr>
      </w:pP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OGÓLNOPOLSKIEJ OLIMPIADY MŁODZIEŻY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sz w:val="22"/>
          <w:szCs w:val="22"/>
          <w:u w:val="single"/>
        </w:rPr>
      </w:pP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SEZON </w:t>
      </w: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2023</w:t>
      </w: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/</w:t>
      </w: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2024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Regulamin cyklu jest uzupełnieniem wymogów obowiązujących w rozgrywkach organizowanych przez PZKosz, przedstawionych w Regulaminie Współzawodnictwa Sportowego PZKosz.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Wszystkie poniższe regulacje dotyczą w równym stopniu rozgrywanych rozdzielnie rozgrywek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mężczyzn i kobiet. Dla uproszczenia użyto formy męskiej "zawodnik".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Użyte skróty: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Mistrzostwa = Ogólnopolska Olimpiada Młodzieży w kategorii chłopców i w kategorii dziewcząt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PZKosz = Polski Związek Koszykówki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Komisja = Komisja Przyznawania Turniejów Szczebla Centralnego PZKosz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UDZIAŁ W ROZGRYWKACH</w:t>
      </w:r>
    </w:p>
    <w:p w:rsidR="00226699" w:rsidRDefault="001F2096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Prawo gry w r</w:t>
      </w:r>
      <w:r>
        <w:rPr>
          <w:rFonts w:ascii="Trebuchet MS" w:eastAsia="Trebuchet MS" w:hAnsi="Trebuchet MS" w:cs="Trebuchet MS"/>
          <w:sz w:val="22"/>
          <w:szCs w:val="22"/>
        </w:rPr>
        <w:t>ozgrywkach Mistrzostw przysługuje kadrom wojewódzkim.</w:t>
      </w:r>
    </w:p>
    <w:p w:rsidR="00226699" w:rsidRDefault="001F2096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Udział WZKosz w Mistrzostwach jest dobrowolny.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SYSTEM ROZGRYWEK</w:t>
      </w:r>
    </w:p>
    <w:p w:rsidR="00226699" w:rsidRDefault="001F2096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Rozgrywki Mistrzostw odbywać się będą w dwóch etapach:</w:t>
      </w:r>
    </w:p>
    <w:p w:rsidR="00226699" w:rsidRDefault="001F2096">
      <w:pPr>
        <w:pStyle w:val="normal"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Etap 1 - Dywizja B - z udziałem 10 drużyn, które zajęły miejsca 7-16 w edycji OOM w poprzednim sezonie, rozgrywany w listopadzie </w:t>
      </w:r>
      <w:r>
        <w:rPr>
          <w:rFonts w:ascii="Trebuchet MS" w:eastAsia="Trebuchet MS" w:hAnsi="Trebuchet MS" w:cs="Trebuchet MS"/>
          <w:sz w:val="22"/>
          <w:szCs w:val="22"/>
        </w:rPr>
        <w:t>2023</w:t>
      </w:r>
      <w:r>
        <w:rPr>
          <w:rFonts w:ascii="Trebuchet MS" w:eastAsia="Trebuchet MS" w:hAnsi="Trebuchet MS" w:cs="Trebuchet MS"/>
          <w:sz w:val="22"/>
          <w:szCs w:val="22"/>
        </w:rPr>
        <w:t xml:space="preserve"> roku;</w:t>
      </w:r>
    </w:p>
    <w:p w:rsidR="00226699" w:rsidRDefault="001F2096">
      <w:pPr>
        <w:pStyle w:val="normal"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ind w:left="1134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Etap 1 - Turniej o Rozstawienie w Dywizji A - z udziałem druż</w:t>
      </w:r>
      <w:r>
        <w:rPr>
          <w:rFonts w:ascii="Trebuchet MS" w:eastAsia="Trebuchet MS" w:hAnsi="Trebuchet MS" w:cs="Trebuchet MS"/>
          <w:sz w:val="22"/>
          <w:szCs w:val="22"/>
        </w:rPr>
        <w:t xml:space="preserve">yn, które zajęły miejsca 1-6 w edycji OOM w poprzednim sezonie, rozgrywany w listopadzie </w:t>
      </w:r>
      <w:r>
        <w:rPr>
          <w:rFonts w:ascii="Trebuchet MS" w:eastAsia="Trebuchet MS" w:hAnsi="Trebuchet MS" w:cs="Trebuchet MS"/>
          <w:sz w:val="22"/>
          <w:szCs w:val="22"/>
        </w:rPr>
        <w:t>2023</w:t>
      </w:r>
      <w:r>
        <w:rPr>
          <w:rFonts w:ascii="Trebuchet MS" w:eastAsia="Trebuchet MS" w:hAnsi="Trebuchet MS" w:cs="Trebuchet MS"/>
          <w:sz w:val="22"/>
          <w:szCs w:val="22"/>
        </w:rPr>
        <w:t xml:space="preserve"> roku;</w:t>
      </w:r>
    </w:p>
    <w:p w:rsidR="00226699" w:rsidRDefault="001F2096">
      <w:pPr>
        <w:pStyle w:val="normal"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ind w:left="1134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Etap 2 - finał - z udziałem uczestników Turnieju o Rozstawienie w Dywizji A (pkt. 2.1.2) oraz dwóch najlepszych drużyn Dywizji B (pkt. 2.1.1.) rozgrywany w </w:t>
      </w:r>
      <w:r>
        <w:rPr>
          <w:rFonts w:ascii="Trebuchet MS" w:eastAsia="Trebuchet MS" w:hAnsi="Trebuchet MS" w:cs="Trebuchet MS"/>
          <w:sz w:val="22"/>
          <w:szCs w:val="22"/>
        </w:rPr>
        <w:t>marcu</w:t>
      </w:r>
      <w:r>
        <w:rPr>
          <w:rFonts w:ascii="Trebuchet MS" w:eastAsia="Trebuchet MS" w:hAnsi="Trebuchet MS" w:cs="Trebuchet MS"/>
          <w:sz w:val="22"/>
          <w:szCs w:val="22"/>
        </w:rPr>
        <w:t xml:space="preserve"> 202</w:t>
      </w:r>
      <w:r>
        <w:rPr>
          <w:rFonts w:ascii="Trebuchet MS" w:eastAsia="Trebuchet MS" w:hAnsi="Trebuchet MS" w:cs="Trebuchet MS"/>
          <w:sz w:val="22"/>
          <w:szCs w:val="22"/>
        </w:rPr>
        <w:t>4</w:t>
      </w:r>
      <w:r>
        <w:rPr>
          <w:rFonts w:ascii="Trebuchet MS" w:eastAsia="Trebuchet MS" w:hAnsi="Trebuchet MS" w:cs="Trebuchet MS"/>
          <w:sz w:val="22"/>
          <w:szCs w:val="22"/>
        </w:rPr>
        <w:t xml:space="preserve"> roku.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both"/>
        <w:rPr>
          <w:rFonts w:ascii="Trebuchet MS" w:eastAsia="Trebuchet MS" w:hAnsi="Trebuchet MS" w:cs="Trebuchet MS"/>
          <w:sz w:val="24"/>
          <w:szCs w:val="24"/>
        </w:rPr>
      </w:pP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567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PRZYZNAWANIE ORGANIZACJI TU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RNIEJÓW</w:t>
      </w:r>
    </w:p>
    <w:p w:rsidR="00226699" w:rsidRDefault="001F2096">
      <w:pPr>
        <w:pStyle w:val="normal"/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Do przyznawania organizacji turniejów wymienionych w punktach 2.1.1. i 2.1.2. uprawniona jest Komisja, a jej decyzje wymagają zatwierdzenia przez Zarząd PZKosz. Organizatorem turnieju może być Wojewódzki Związek Koszykówki lub inna organizacja, jeśli Komis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ja tak postanowi. Wnioski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(Załącznik nr 16b)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oraz dokumentację uzupełniającą należy przesłać do Wydziału Rozgrywek PZKosz na adres </w:t>
      </w:r>
      <w:hyperlink r:id="rId8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rozgrywki@pzkosz.pl</w:t>
        </w:r>
      </w:hyperlink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. Termin złożenia wniosków i przyznania turniejów zostanie określony w komunikacie Wydziału Rozgrywek PZKosz.</w:t>
      </w:r>
    </w:p>
    <w:p w:rsidR="00226699" w:rsidRDefault="001F2096">
      <w:pPr>
        <w:pStyle w:val="normal"/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przypadku braku chętnych do organizacji turnieju, Komisja może przedłużyć termin składania wniosków o maksymalnie 48 godzin lub podjąć decyzję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 powierzeniu organizacji turnieju innemu podmiotowi, przy czym koszty organizacji turnieju zostaną rozłożone równomiernie pomiędzy uczestniczące drużyny, które mają obowiązek wpłacić ustaloną przez Komisję kwotę w dniu rozpoczęcia turnieju, pod rygorem wy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cofania z udziału w turnieju.</w:t>
      </w:r>
    </w:p>
    <w:p w:rsidR="00226699" w:rsidRDefault="001F2096">
      <w:pPr>
        <w:pStyle w:val="normal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hanging="64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UDZIAŁ ZAWODNIKÓW</w:t>
      </w:r>
    </w:p>
    <w:p w:rsidR="00226699" w:rsidRDefault="001F2096">
      <w:pPr>
        <w:pStyle w:val="normal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Mistrzostwac</w:t>
      </w:r>
      <w:r>
        <w:rPr>
          <w:rFonts w:ascii="Trebuchet MS" w:eastAsia="Trebuchet MS" w:hAnsi="Trebuchet MS" w:cs="Trebuchet MS"/>
          <w:sz w:val="22"/>
          <w:szCs w:val="22"/>
        </w:rPr>
        <w:t>h mogą brać udział zawodnicy urodzeni w latach 20</w:t>
      </w:r>
      <w:r>
        <w:rPr>
          <w:rFonts w:ascii="Trebuchet MS" w:eastAsia="Trebuchet MS" w:hAnsi="Trebuchet MS" w:cs="Trebuchet MS"/>
          <w:sz w:val="22"/>
          <w:szCs w:val="22"/>
        </w:rPr>
        <w:t>10</w:t>
      </w:r>
      <w:r>
        <w:rPr>
          <w:rFonts w:ascii="Trebuchet MS" w:eastAsia="Trebuchet MS" w:hAnsi="Trebuchet MS" w:cs="Trebuchet MS"/>
          <w:sz w:val="22"/>
          <w:szCs w:val="22"/>
        </w:rPr>
        <w:t xml:space="preserve"> – 201</w:t>
      </w:r>
      <w:r>
        <w:rPr>
          <w:rFonts w:ascii="Trebuchet MS" w:eastAsia="Trebuchet MS" w:hAnsi="Trebuchet MS" w:cs="Trebuchet MS"/>
          <w:sz w:val="22"/>
          <w:szCs w:val="22"/>
        </w:rPr>
        <w:t>2</w:t>
      </w:r>
      <w:r>
        <w:rPr>
          <w:rFonts w:ascii="Trebuchet MS" w:eastAsia="Trebuchet MS" w:hAnsi="Trebuchet MS" w:cs="Trebuchet MS"/>
          <w:sz w:val="22"/>
          <w:szCs w:val="22"/>
        </w:rPr>
        <w:t xml:space="preserve">, </w:t>
      </w:r>
      <w:r>
        <w:rPr>
          <w:rFonts w:ascii="Trebuchet MS" w:eastAsia="Trebuchet MS" w:hAnsi="Trebuchet MS" w:cs="Trebuchet MS"/>
          <w:sz w:val="22"/>
          <w:szCs w:val="22"/>
        </w:rPr>
        <w:lastRenderedPageBreak/>
        <w:t>posiadający licencje okresowe zawodnika na rozgrywki w danym województwie wydane przez właściwy WZKosz zgodnie z postanowieniami Regulaminu Współzawodnictwa Sportowego PZKosz. Zawodnicy zagraniczni nie mogą brać udział w Mistrzostwach</w:t>
      </w:r>
      <w:r>
        <w:rPr>
          <w:rFonts w:ascii="Trebuchet MS" w:eastAsia="Trebuchet MS" w:hAnsi="Trebuchet MS" w:cs="Trebuchet MS"/>
          <w:strike/>
          <w:sz w:val="22"/>
          <w:szCs w:val="22"/>
        </w:rPr>
        <w:t>.</w:t>
      </w:r>
    </w:p>
    <w:p w:rsidR="00226699" w:rsidRDefault="001F2096">
      <w:pPr>
        <w:pStyle w:val="normal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Liczba zawodników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zgłoszonych do turnieju Mistrzostw nie może być mniejsza niż 12.</w:t>
      </w:r>
    </w:p>
    <w:p w:rsidR="00226699" w:rsidRDefault="001F2096">
      <w:pPr>
        <w:pStyle w:val="normal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Wojewódzkie Związki Koszykówki mają obowiązek przesłać druki zgłoszeń imiennych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(Załącznik 17a)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najpóźniej  pięć dni przed rozpoczęciem turnieju pocztą elektroniczną na adres </w:t>
      </w:r>
      <w:hyperlink r:id="rId9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rozgrywki@pzkosz.pl</w:t>
        </w:r>
      </w:hyperlink>
      <w:r>
        <w:rPr>
          <w:rFonts w:ascii="Trebuchet MS" w:eastAsia="Trebuchet MS" w:hAnsi="Trebuchet MS" w:cs="Trebuchet MS"/>
          <w:color w:val="000000"/>
          <w:sz w:val="22"/>
          <w:szCs w:val="22"/>
        </w:rPr>
        <w:t>. Wersję papierową zgłoszenia (ostemplowaną, podpisaną i potwierdzoną przez właściwy WZKosz) należy posiadać ze sobą do weryfikacji na miejscu turnieju.</w:t>
      </w:r>
    </w:p>
    <w:p w:rsidR="00226699" w:rsidRDefault="001F2096">
      <w:pPr>
        <w:pStyle w:val="normal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Do weryfikacji na odprawie komisarza przed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turniejem należy posiadać:</w:t>
      </w:r>
    </w:p>
    <w:p w:rsidR="00226699" w:rsidRDefault="001F2096">
      <w:pPr>
        <w:pStyle w:val="normal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wykaz zawodników uprawnionych do gry,</w:t>
      </w:r>
    </w:p>
    <w:p w:rsidR="00226699" w:rsidRDefault="001F2096">
      <w:pPr>
        <w:pStyle w:val="normal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dowody tożsamości zawodników i trenerów ze zdjęciem,</w:t>
      </w:r>
    </w:p>
    <w:p w:rsidR="00226699" w:rsidRDefault="001F2096">
      <w:pPr>
        <w:pStyle w:val="normal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aktualne badania lekarskie zawodników. Wymagane jest przedstawienie orzeczeń lekarskich wydanych przez lekarza specjalistę w dziedzinie medycyny sportowej lub lekarza posiadającego certyfikat ukończenia kursu wprowadzającego do specjalizacji w dziedzinie m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edycyny sportowej, z datą badania i terminem ważności badania nie późniejszym niż 12 miesięcy od daty badania (orzeczenie lekarskie może być także wydane przez lekarza podstawowej opieki zdrowotnej). W przypadku braku ważnych badań na odprawie, zawodnik mo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że uczestniczyć w meczu turnieju, jeśli ważne badania zostaną okazane komisarzowi najpóźniej 60 minut przed meczem.</w:t>
      </w:r>
    </w:p>
    <w:p w:rsidR="00226699" w:rsidRDefault="001F2096">
      <w:pPr>
        <w:pStyle w:val="normal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składzie drużyny powinien znajdować trener oraz opiekun drużyny odpowiedzialny za drużynę. W przypadku braku opiekuna oraz dyskwalifikacji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lub nieobecności trenera mecz zostanie zweryfikowany jako walkower dla przeciwnika.</w:t>
      </w:r>
    </w:p>
    <w:p w:rsidR="00226699" w:rsidRDefault="001F2096">
      <w:pPr>
        <w:pStyle w:val="normal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Warunkiem udziału w meczu Mistrzostw jest posiadanie jednolitych, nieróżniących się między sobą w ramach jednej drużyny pod względem koloru, fasonu, oznaczeń klubowych i 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ponsorskich oraz kroju numerów, strojów o odmiennych kontrastujących kolorach, zgodnie z Oficjalnymi Przepisami Gry w Koszykówkę: drużyna gospodarzy w strojach jasnych, a drużyna gości w strojach ciemnych (zamiana jest możliwa za zgodą obu drużyn, a w przy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padkach konfliktu decyzję podejmuje komisarz); absolutnie niedopuszczalny jest występ zawodnika bez numeru na koszulce lub w stroju innego koloru niż pozostali zawodnicy zespołu. Numery powinny być z przedziału 0-99 lub 00.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226699" w:rsidRDefault="001F209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ZASADY WYPOSAŻENIA HAL</w:t>
      </w:r>
    </w:p>
    <w:p w:rsidR="00226699" w:rsidRDefault="001F2096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Hale, w których rozgrywane mogą być turnieje Mistrzostw, muszą posiadać certyfikat wydany przez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PZKosz lub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właściwy miejscowo WZKosz (przynajmniej na rozgrywki strefowe). </w:t>
      </w:r>
    </w:p>
    <w:p w:rsidR="00226699" w:rsidRDefault="001F209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Warunki konieczne do organizacji turnieju Mistrzostw i do rozegrania meczu Mistrzost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w: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co najmniej 100 miejsc siedzących dla widzów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boisko o pełnych wymiarach wymaganych w Oficjalnych Przepisach Gry w Koszykówkę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(28 x 15), z liniami w jednolitym kolorze, o nawierzchni drewnianej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sufit w hali co najmniej 7 m nad podłogą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wszelkie przeszkody, w tym także konstrukcje podtrzymujące tablice koszy, siedzenia w strefach ławek drużyn oraz bandy reklamowe, oddalone od boiska o co najmniej dwa metry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dwa jednakowe kosze z tablicami do gry w koszykówkę, odpowiednio zabezpieczone, aby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zminimalizować skutki zderzenia zawodników z tablicą i konstrukcją podtrzymującą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stolik sędziowski o długości co najmniej 4 metrów, zapewniający swobodny widok na całe boisko oraz dogodne warunki pracy dla czterech osób (sekretarz, komisarz, mierzący czas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gry, mierzący czas akcji)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ławki drużyn z miejscami dla 14 osób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stanowisko dla spikera z dostępem do systemu nagłośnienia w pobliżu stolika sędziowskiego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stanowisko dla statystyków z komputerem w pobliżu stolika sędziowskiego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stanowisko dla operatora kamery (zaleca się naprzeciw stolika sędziowskiego)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tablica wyników, wyświetlająca wynik meczu, liczbę fauli drużynowych w kwarcie, doskonale widoczna z każdego miejsca boiska, ławek rezerwowych i stolika sędziowskiego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zegar głów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ny zawodów doskonale widoczny z każdego miejsca boiska, ławek rezerwowych i stolika sędziowskiego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działające zgodnie z Oficjalnymi Przepisami Gry w Koszykówkę dwa zegary do pomiaru czasu akcji, znajdujące się nad tablicami kosza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wskaźniki fauli zawodnikó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w, z wymalowanymi cyframi (1-5) o wysokości 20 cm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wskaźniki fauli drużyny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wskaźnik naprzemiennego posiadania piłki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dwa stopery ręczne, jako rezerwa na wypadek awarii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dwa oddzielne, wyraźnie odmienne, głośne i dobrze słyszalne w każdym punkcie boiska i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ławek rezerwowych sygnały dźwiękowe, pierwszy dla sekretarza i mierzącego czas gry, drugi dla mierzącego czas akcji, minimalna głośność - 120 dB, mierzonych na wysokości 1 m od parkietu. 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cztery szatnie dla zawodników wyposażone w co najmniej 12 miejsc do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siedzenia z wieszakami oraz posiadające bezpośredni dostęp do węzła sanitarnego oraz pryszniców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szatnia dla sędziów boiskowych i komisarza zawodów, wyposażona w co najmniej 4 miejsca do siedzenia z wieszakami oraz posiadająca bezpośredni dostęp do węzła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sanitarnego oraz pryszniców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szatnia sędziów stolikowych, wyposażona w co najmniej 4 miejsca do siedzenia z wieszakami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Odpowiednie oświetlenie z użyciem wszystkich lamp dostępnych na hali. Preferowane natężenie oświetlenia 1</w:t>
      </w:r>
      <w:r>
        <w:rPr>
          <w:rFonts w:ascii="Trebuchet MS" w:eastAsia="Trebuchet MS" w:hAnsi="Trebuchet MS" w:cs="Trebuchet MS"/>
          <w:sz w:val="22"/>
          <w:szCs w:val="22"/>
        </w:rPr>
        <w:t>2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00 luksów.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Stałe łącze internetowe wyłącznie dla potrzeb statystyków, transmisji wideo oraz PR i Komunikacji PZKosz o minimalnych parametrach – prędkość pobierania danych od 500 Mb/s (512000 kb/s), prędkość wysyłania danych od 50 Mb/s (51200 kb/s),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</w:t>
      </w:r>
      <w:r>
        <w:rPr>
          <w:rFonts w:ascii="Trebuchet MS" w:eastAsia="Trebuchet MS" w:hAnsi="Trebuchet MS" w:cs="Trebuchet MS"/>
          <w:sz w:val="22"/>
          <w:szCs w:val="22"/>
        </w:rPr>
        <w:t>Zapewnienie - 7</w:t>
      </w:r>
      <w:r>
        <w:rPr>
          <w:rFonts w:ascii="Trebuchet MS" w:eastAsia="Trebuchet MS" w:hAnsi="Trebuchet MS" w:cs="Trebuchet MS"/>
          <w:sz w:val="22"/>
          <w:szCs w:val="22"/>
        </w:rPr>
        <w:t xml:space="preserve"> szt. piłek właściwych dla danego cyklu (nr 6 chłopcy i nr 5 dziewczęta) oraz protokołów zawodów.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Na potrzeby turnieju rekomenduje się udostępnienie 6 (dopuszcza się w ostateczności 5) szatni według poniższych wytycznych:</w:t>
      </w:r>
    </w:p>
    <w:p w:rsidR="00226699" w:rsidRDefault="001F2096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21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cztery szatnie z pełnym węzłem san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itarnym dla zespołów. Dla każdej drużyny powinna być osobna szatnia, która powinna zostać udostępniona przynajmniej 1h przed meczem,</w:t>
      </w:r>
    </w:p>
    <w:p w:rsidR="00226699" w:rsidRDefault="001F2096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21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dwie (w ostateczności 1) szatnie dla sędziów, osobna wspólna szatnia dla sędziów boiskowych i komisarza oraz osobna szatnia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dla sędziów funkcyjnych, obie z pełnym węzłem sanitarnym, które powinny zostać udostępnione na wyłączność na cały czas trwania turnieju. Dopuszcza się inne pomieszczenia (bez węzłów sanitarnych) z dostępem do natrysków po meczu.</w:t>
      </w:r>
    </w:p>
    <w:p w:rsidR="00226699" w:rsidRDefault="001F2096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hanging="21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szatnie/pokoje powinny być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posprzątane i odpowiednio oznaczone, tzn. nazwami zespołów uczestniczących w turnieju oraz szatnia sędziów boiskowych i komisarza oraz szatnia sędziów funkcyjnych.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Woda dla drużyn minimum 30 min przed meczem – minimum 18 butelek 1,5 l wody niegazowanej pr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zy ławce każdej drużyny. Woda dla sędziów – minimum 3 butelki 1,5l wody niegazowanej w pokoju sędziów na każdy mecz.</w:t>
      </w:r>
    </w:p>
    <w:p w:rsidR="00226699" w:rsidRDefault="001F2096">
      <w:pPr>
        <w:pStyle w:val="normal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Procedura przedmeczowa</w:t>
      </w:r>
    </w:p>
    <w:tbl>
      <w:tblPr>
        <w:tblStyle w:val="a1"/>
        <w:tblW w:w="8647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89"/>
        <w:gridCol w:w="6158"/>
      </w:tblGrid>
      <w:tr w:rsidR="00226699">
        <w:tc>
          <w:tcPr>
            <w:tcW w:w="2489" w:type="dxa"/>
            <w:shd w:val="clear" w:color="auto" w:fill="BFBFBF"/>
            <w:vAlign w:val="center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Czas do meczu</w:t>
            </w:r>
          </w:p>
        </w:tc>
        <w:tc>
          <w:tcPr>
            <w:tcW w:w="6158" w:type="dxa"/>
            <w:shd w:val="clear" w:color="auto" w:fill="BFBFBF"/>
            <w:vAlign w:val="center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Aktywność</w:t>
            </w:r>
          </w:p>
        </w:tc>
      </w:tr>
      <w:tr w:rsidR="00226699">
        <w:tc>
          <w:tcPr>
            <w:tcW w:w="2489" w:type="dxa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Minimum 60 minut</w:t>
            </w:r>
          </w:p>
        </w:tc>
        <w:tc>
          <w:tcPr>
            <w:tcW w:w="6158" w:type="dxa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both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Udostępnienie szatni dla drużyn i sędziów</w:t>
            </w:r>
          </w:p>
        </w:tc>
      </w:tr>
      <w:tr w:rsidR="00226699">
        <w:tc>
          <w:tcPr>
            <w:tcW w:w="2489" w:type="dxa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Minimum 30 minut</w:t>
            </w:r>
          </w:p>
        </w:tc>
        <w:tc>
          <w:tcPr>
            <w:tcW w:w="6158" w:type="dxa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both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Rozgrzewka dla obu drużyn</w:t>
            </w:r>
          </w:p>
        </w:tc>
      </w:tr>
      <w:tr w:rsidR="00226699">
        <w:tc>
          <w:tcPr>
            <w:tcW w:w="2489" w:type="dxa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6’</w:t>
            </w:r>
          </w:p>
        </w:tc>
        <w:tc>
          <w:tcPr>
            <w:tcW w:w="6158" w:type="dxa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4" w:line="360" w:lineRule="auto"/>
              <w:jc w:val="both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Oficjalna prezentacja prowadzona przez Spikera</w:t>
            </w:r>
          </w:p>
        </w:tc>
      </w:tr>
    </w:tbl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2"/>
          <w:tab w:val="left" w:pos="1134"/>
          <w:tab w:val="left" w:pos="1418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 stwierdzenia braku spełnienia warunków koniecznych wymienionych w pkt. 5.2. komisarz meczu powiadomi Wydział Rozgrywek PZKosz o uchybieniach, co może skutkować nałożeniem kary administracyjnej.</w:t>
      </w:r>
    </w:p>
    <w:p w:rsidR="00226699" w:rsidRDefault="001F2096">
      <w:pPr>
        <w:pStyle w:val="normal"/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Komisja może przyznać organizację turnieju w hali niespełniającej wszystkich warunków koniecznych wymienionych w pkt. 5.2., jeśli nie otrzymała żadnego innego wniosku o organizację turnieju.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226699" w:rsidRDefault="001F2096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WERYFIKACJA MECZÓW I PROCEDURA PROTESTU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6.1.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ab/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Ewidencję i weryfi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kację rozgrywek Mistrzostw prowadzi Wydział Rozgrywek PZKosz.</w:t>
      </w:r>
    </w:p>
    <w:p w:rsidR="00226699" w:rsidRDefault="001F20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6.2.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ab/>
        <w:t>Komunikaty weryfikacyjne i zawierające terminarz meczów będą wydawane po każdym etapie rozgrywek.</w:t>
      </w:r>
    </w:p>
    <w:p w:rsidR="00226699" w:rsidRDefault="001F2096">
      <w:pPr>
        <w:pStyle w:val="normal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Trebuchet MS" w:eastAsia="Trebuchet MS" w:hAnsi="Trebuchet MS" w:cs="Trebuchet MS"/>
          <w:color w:val="000000"/>
          <w:sz w:val="22"/>
          <w:szCs w:val="22"/>
        </w:rPr>
        <w:t>Drużyna ma prawo złożyć do Wydziału Rozgrywek PZKosz jako organu I instancji protest przeciwko weryfikacji wyniku meczu zgodnie z protokołem w związku z wydarzeniami i okolicznościami związanymi z rozgrywaniem meczu. Procedura protestu musi być zgodna z za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pisami Regulaminu Współzawodnictwa Sportowego PZKosz i opierać się na zapisach Oficjalnych Przepisów Gry w Koszykówkę, dodatek C - Procedura Protestu.</w:t>
      </w:r>
    </w:p>
    <w:p w:rsidR="00226699" w:rsidRDefault="001F2096">
      <w:pPr>
        <w:pStyle w:val="normal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Trebuchet MS" w:eastAsia="Trebuchet MS" w:hAnsi="Trebuchet MS" w:cs="Trebuchet MS"/>
          <w:color w:val="000000"/>
          <w:sz w:val="22"/>
          <w:szCs w:val="22"/>
        </w:rPr>
        <w:t>Warunkiem rozpatrzenia wniesionego protestu jest wpłacenie przez wnoszącego w ciągu 30 minut po meczu kau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cji w wysokości 500 zł w formie depozytu (za pokwitowaniem komisarza). W przypadku uznania protestu kaucja zostanie zwrócona, zaś w przypadku odrzucenia protestu komisarz przeleje kaucję na konto PZKosz. Kapitan drużyny najpóźniej 15 minut po zakończeniu m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eczu musi poinformować komisarza, że jego drużyna składa protest przeciwko wynikowi meczu oraz złożyć podpis w rubryce protokołu meczu „podpis kapitana w przypadku protestu”. Dla uznania protestu za ważny, konieczne jest, aby przedstawiciel drużyny złożył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pisemne uzasadnienie protestu na ręce komisarza w ciągu 60 minut od zakończenia meczu.</w:t>
      </w:r>
    </w:p>
    <w:p w:rsidR="00226699" w:rsidRDefault="001F2096">
      <w:pPr>
        <w:pStyle w:val="normal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Rozstrzygnięcie w sprawie protestu wydaje komisarz niezwłocznie, nie później niż dwie godziny po ostatnim meczu dnia turnieju.</w:t>
      </w:r>
    </w:p>
    <w:p w:rsidR="00226699" w:rsidRDefault="001F2096">
      <w:pPr>
        <w:pStyle w:val="normal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Instancją odwoławczą od decyzji komisarza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 proteście jest podczas turnieju Jury d'Appel składające się z przedstawicieli drużyn uczestniczących, sędziów oraz przedstawiciela Wydziału Szkolenia Departamentu Sportu obecnego na turnieju. Jury d'Appel musi być powołane podczas odprawy przed turniejem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Jury d'Appel wydaje decyzje w sprawach związanych z protestem z mocą Komisji Odwoławczej PZKosz, według procedur zawartych w Regulaminie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Współzawodnictwa Sportowego PZKosz.</w:t>
      </w:r>
    </w:p>
    <w:p w:rsidR="00226699" w:rsidRDefault="001F2096">
      <w:pPr>
        <w:pStyle w:val="normal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 niestawiennictwa drużyny na mecz, drużyna może zostać ukarana karą ad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ministracyjną zgodną z Listą Kar Administracyjnych.</w:t>
      </w:r>
    </w:p>
    <w:p w:rsidR="00226699" w:rsidRDefault="001F2096">
      <w:pPr>
        <w:pStyle w:val="normal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Na trenera, który popełni faul dyskwalifikujący podczas meczu Mistrzostw, nałożona zostanie kara administracyjna, przewidziana na Liście Kar Administracyjnych. Jak</w:t>
      </w:r>
      <w:r>
        <w:rPr>
          <w:rFonts w:ascii="Trebuchet MS" w:eastAsia="Trebuchet MS" w:hAnsi="Trebuchet MS" w:cs="Trebuchet MS"/>
          <w:sz w:val="22"/>
          <w:szCs w:val="22"/>
        </w:rPr>
        <w:t>o faul dyskwalifikujący jest także trakto</w:t>
      </w:r>
      <w:r>
        <w:rPr>
          <w:rFonts w:ascii="Trebuchet MS" w:eastAsia="Trebuchet MS" w:hAnsi="Trebuchet MS" w:cs="Trebuchet MS"/>
          <w:sz w:val="22"/>
          <w:szCs w:val="22"/>
        </w:rPr>
        <w:t>wane zdyskwalifikowanie trenera za dwa faule techniczne typu C lub trzy faule techniczne typu B lub ich kombinację w meczu.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SĘDZIOWIE I KOMISARZE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134"/>
        </w:tabs>
        <w:ind w:left="1134" w:hanging="567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Sędziów boiskowych i komisarzy w turniejach Mistrzostw wyznacza PZKosz a sędziów funkcyjnych właściwy </w:t>
      </w:r>
      <w:r>
        <w:rPr>
          <w:rFonts w:ascii="Trebuchet MS" w:eastAsia="Trebuchet MS" w:hAnsi="Trebuchet MS" w:cs="Trebuchet MS"/>
          <w:sz w:val="22"/>
          <w:szCs w:val="22"/>
        </w:rPr>
        <w:t>terytorialnie</w:t>
      </w:r>
      <w:r>
        <w:rPr>
          <w:rFonts w:ascii="Trebuchet MS" w:eastAsia="Trebuchet MS" w:hAnsi="Trebuchet MS" w:cs="Trebuchet MS"/>
          <w:sz w:val="22"/>
          <w:szCs w:val="22"/>
        </w:rPr>
        <w:t xml:space="preserve"> WZKosz.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ORGANIZACJA MECZÓW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Organizator turnieju zobowiązany jest do przeprowadzenia turnieju zgodnie z Regulaminem Współzawodnictwa Sportowego PZKosz, oficjalnymi przepisami gry w koszykówkę i postanowieniami zawartymi w komunikatach wydawanych przez Wydział Rozgrywek PZKosz.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Termin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arz meczów w poszczególnych dniach turnieju Mistrzostw ustala Wydział Rozgrywek i podaje w wydawanym najpóźniej 10 dni przed rozpoczęciem turnieju komunikacie. Organizator turnieju ma prawo ustalić godziny rozpoczęcia meczów, utrzymując zasadę, w myśl któr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ej w pierwszych trzech dniach</w:t>
      </w:r>
      <w:r>
        <w:rPr>
          <w:rFonts w:ascii="Trebuchet MS" w:eastAsia="Trebuchet MS" w:hAnsi="Trebuchet MS" w:cs="Trebuchet MS"/>
          <w:sz w:val="22"/>
          <w:szCs w:val="22"/>
        </w:rPr>
        <w:t xml:space="preserve"> turnieju finałowego drużyny rozgrywające ostatni mecz dnia nie mogą w kolejnym dniu rozgrywać pierwszego meczu dnia. Istnieje możliwość rozegrania dwóch spotkań jednego dnia.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Mecze należy rozpoczynać nie wcześniej niż o godz. 8:00 i nie później niż o godz. 20:00. W ostatnim dniu turnieju mecze nie powinny się rozpoczynać później niż o godz. 14:00, chyba że wszystkie drużyny uczestniczące w turnieju wyraż</w:t>
      </w:r>
      <w:r>
        <w:rPr>
          <w:rFonts w:ascii="Trebuchet MS" w:eastAsia="Trebuchet MS" w:hAnsi="Trebuchet MS" w:cs="Trebuchet MS"/>
          <w:sz w:val="22"/>
          <w:szCs w:val="22"/>
        </w:rPr>
        <w:t>ają</w:t>
      </w:r>
      <w:r>
        <w:rPr>
          <w:rFonts w:ascii="Trebuchet MS" w:eastAsia="Trebuchet MS" w:hAnsi="Trebuchet MS" w:cs="Trebuchet MS"/>
          <w:sz w:val="22"/>
          <w:szCs w:val="22"/>
        </w:rPr>
        <w:t xml:space="preserve"> zgodę na inne rozwią</w:t>
      </w:r>
      <w:r>
        <w:rPr>
          <w:rFonts w:ascii="Trebuchet MS" w:eastAsia="Trebuchet MS" w:hAnsi="Trebuchet MS" w:cs="Trebuchet MS"/>
          <w:sz w:val="22"/>
          <w:szCs w:val="22"/>
        </w:rPr>
        <w:t>zanie lub z uwagi na liczbę spotkań do rozegrania tego dnia nie jest to możliwe.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Komisarz jest upoważniony do dokonywania zmiany kolejności rozgrywania spotkań w ostatnim dniu turnieju (lub ostatnim dniu fazy grupowej), jeśli zajdzie konieczność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zachowania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czystych reguł gry.</w:t>
      </w:r>
    </w:p>
    <w:p w:rsidR="00226699" w:rsidRDefault="001F20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br w:type="page"/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W terminie podanym przez Wydział Rozgrywek PZKosz w komunikacie organizator prześle do Wydziału Rozgrywek PZKosz komunikat organizacyjny zawierający podstawowe informacje o turnieju, w tym w szczególności:</w:t>
      </w:r>
    </w:p>
    <w:p w:rsidR="00226699" w:rsidRDefault="001F2096">
      <w:pPr>
        <w:pStyle w:val="normal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terminy i godziny rozpoczęcia meczów</w:t>
      </w:r>
    </w:p>
    <w:p w:rsidR="00226699" w:rsidRDefault="001F2096">
      <w:pPr>
        <w:pStyle w:val="normal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miejsce i termin odprawy technicznej</w:t>
      </w:r>
    </w:p>
    <w:p w:rsidR="00226699" w:rsidRDefault="001F2096">
      <w:pPr>
        <w:pStyle w:val="normal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dane tel</w:t>
      </w:r>
      <w:r>
        <w:rPr>
          <w:rFonts w:ascii="Trebuchet MS" w:eastAsia="Trebuchet MS" w:hAnsi="Trebuchet MS" w:cs="Trebuchet MS"/>
          <w:sz w:val="22"/>
          <w:szCs w:val="22"/>
        </w:rPr>
        <w:t>eadresowe organizatora turnieju,</w:t>
      </w:r>
    </w:p>
    <w:p w:rsidR="00226699" w:rsidRDefault="001F2096">
      <w:pPr>
        <w:pStyle w:val="normal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dane kontaktowe osoby odpowiedzialnej za organizację turnieju,</w:t>
      </w:r>
    </w:p>
    <w:p w:rsidR="00226699" w:rsidRDefault="001F2096">
      <w:pPr>
        <w:pStyle w:val="normal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miejsce rozgrywania meczów,</w:t>
      </w:r>
    </w:p>
    <w:p w:rsidR="00226699" w:rsidRDefault="001F2096">
      <w:pPr>
        <w:pStyle w:val="normal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miejsce zakwaterowania i wyżywienia drużyn,</w:t>
      </w:r>
    </w:p>
    <w:p w:rsidR="00226699" w:rsidRDefault="001F2096">
      <w:pPr>
        <w:pStyle w:val="normal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134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miejsc</w:t>
      </w:r>
      <w:r>
        <w:rPr>
          <w:rFonts w:ascii="Trebuchet MS" w:eastAsia="Trebuchet MS" w:hAnsi="Trebuchet MS" w:cs="Trebuchet MS"/>
          <w:sz w:val="22"/>
          <w:szCs w:val="22"/>
        </w:rPr>
        <w:t>a zakwaterowania sędziów i komisarza technicznego.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Organizator </w:t>
      </w:r>
      <w:r>
        <w:rPr>
          <w:rFonts w:ascii="Trebuchet MS" w:eastAsia="Trebuchet MS" w:hAnsi="Trebuchet MS" w:cs="Trebuchet MS"/>
          <w:sz w:val="22"/>
          <w:szCs w:val="22"/>
        </w:rPr>
        <w:t>zapewnia</w:t>
      </w:r>
      <w:r>
        <w:rPr>
          <w:rFonts w:ascii="Trebuchet MS" w:eastAsia="Trebuchet MS" w:hAnsi="Trebuchet MS" w:cs="Trebuchet MS"/>
          <w:sz w:val="22"/>
          <w:szCs w:val="22"/>
        </w:rPr>
        <w:t xml:space="preserve"> dla każdej drużyny 18 miejsc noclegowych oraz miejsca noclegowe dla komisarza i sędziów przyjezdnych o nie gorszym standardzie niż dla drużyn przyjezdnych.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Organizator pokrywa koszty z</w:t>
      </w:r>
      <w:r>
        <w:rPr>
          <w:rFonts w:ascii="Trebuchet MS" w:eastAsia="Trebuchet MS" w:hAnsi="Trebuchet MS" w:cs="Trebuchet MS"/>
          <w:sz w:val="22"/>
          <w:szCs w:val="22"/>
        </w:rPr>
        <w:t>akwaterowania, wyżywienia i delegacji sędziów i komisarzy.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Mecze należy protokołować na drukach protokołów PZKosz.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Mecze należy rozgrywać piłkami posiadającymi atest FIBA rozmiaru 6 (dla rozgrywek mężczyzn) i rozmiaru 5 (dla rozgrywek kobiet). Piłki posiadające atest są wymienione na stronie </w:t>
      </w:r>
      <w:hyperlink r:id="rId10" w:anchor="tab=Level_1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http://www.fiba.basketball/equipment-and-venue/approved-basketballs#tab=Level_1</w:t>
        </w:r>
      </w:hyperlink>
      <w:r>
        <w:rPr>
          <w:rFonts w:ascii="Trebuchet MS" w:eastAsia="Trebuchet MS" w:hAnsi="Trebuchet MS" w:cs="Trebuchet MS"/>
          <w:color w:val="000000"/>
          <w:sz w:val="22"/>
          <w:szCs w:val="22"/>
        </w:rPr>
        <w:t>. Do rozgrzewki drużyn należy dostarczyć co najmniej cztery piłki.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Organizator turn</w:t>
      </w:r>
      <w:r>
        <w:rPr>
          <w:rFonts w:ascii="Trebuchet MS" w:eastAsia="Trebuchet MS" w:hAnsi="Trebuchet MS" w:cs="Trebuchet MS"/>
          <w:sz w:val="22"/>
          <w:szCs w:val="22"/>
        </w:rPr>
        <w:t xml:space="preserve">ieju </w:t>
      </w:r>
      <w:r>
        <w:rPr>
          <w:rFonts w:ascii="Trebuchet MS" w:eastAsia="Trebuchet MS" w:hAnsi="Trebuchet MS" w:cs="Trebuchet MS"/>
          <w:sz w:val="22"/>
          <w:szCs w:val="22"/>
        </w:rPr>
        <w:t>zapewnia</w:t>
      </w:r>
      <w:r>
        <w:rPr>
          <w:rFonts w:ascii="Trebuchet MS" w:eastAsia="Trebuchet MS" w:hAnsi="Trebuchet MS" w:cs="Trebuchet MS"/>
          <w:sz w:val="22"/>
          <w:szCs w:val="22"/>
        </w:rPr>
        <w:t xml:space="preserve"> na wszystkich meczach obecność co najmniej jednego spikera. Każda osoba używająca nagłośnienia w hali przed, podczas i po meczu jest spikerem. Wszyscy spikerzy muszą posiadać licencję spikera wydaną na sezon przez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właściwy WZKosz. Spiker jest zobowiązany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do przekazywania podstawowych informacji o wydarzeniach meczu (prezentacja, zmiany, zdobyte kosze, faule). Spiker nie może inicjować dopingu, uczestniczyć w skandowaniu haseł, wykazywać braku obiektywizmu, a także komentować lub wyprzedzać decyzji sędziów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 komisarza. Spiker nie może odmówić przekazania komunikatu, jeśli nakazuje mu to komisarz. Spiker musi używać oficjalnych nazw drużyn i nazwisk w brzmieniu występującym w bazie statystycznej.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Oprawa muzyczna meczu nie może zakłócać przebiegu gry. Użycie 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ystemu nagłośnienia do oprawy muzycznej lub zachęcania do dopingu jest dopuszczalne tylko podczas przerw na żądanie trenerów, przerw między kwartami, przed rozpoczęciem i po zakończeniu meczu. Dodatkowo, w momentach między przerwaniem gry przez sędziów gwi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zdkiem a wznowieniem gry, po zdobytym koszu oraz podczas gry, kiedy piłka jest w posiadaniu drużyny znajdującej się na polu obrony, dozwolon</w:t>
      </w:r>
      <w:r>
        <w:rPr>
          <w:rFonts w:ascii="Trebuchet MS" w:eastAsia="Trebuchet MS" w:hAnsi="Trebuchet MS" w:cs="Trebuchet MS"/>
          <w:sz w:val="22"/>
          <w:szCs w:val="22"/>
        </w:rPr>
        <w:t>e są wyłącznie klipy dźwiękowe, ale tylko takie, które nie mają charakteru złośliwego lub prowokacyjnego.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Zabrania s</w:t>
      </w:r>
      <w:r>
        <w:rPr>
          <w:rFonts w:ascii="Trebuchet MS" w:eastAsia="Trebuchet MS" w:hAnsi="Trebuchet MS" w:cs="Trebuchet MS"/>
          <w:b/>
          <w:sz w:val="22"/>
          <w:szCs w:val="22"/>
        </w:rPr>
        <w:t>ię używania przez kibiców urządzeń wzmacniających doping w postaci: trąbek, piszczałek, gwizdków, wuwuzeli, syren, bębnów, werbli,  megafonów oraz innych instrumentów emitujących dźwięk lub światło w trakcie meczów, pod rygorem podjęcia decyzji zgodnie z p</w:t>
      </w:r>
      <w:r>
        <w:rPr>
          <w:rFonts w:ascii="Trebuchet MS" w:eastAsia="Trebuchet MS" w:hAnsi="Trebuchet MS" w:cs="Trebuchet MS"/>
          <w:b/>
          <w:sz w:val="22"/>
          <w:szCs w:val="22"/>
        </w:rPr>
        <w:t>.8.17.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Organizator turnieju </w:t>
      </w:r>
      <w:r>
        <w:rPr>
          <w:rFonts w:ascii="Trebuchet MS" w:eastAsia="Trebuchet MS" w:hAnsi="Trebuchet MS" w:cs="Trebuchet MS"/>
          <w:sz w:val="22"/>
          <w:szCs w:val="22"/>
        </w:rPr>
        <w:t>zapewnia</w:t>
      </w:r>
      <w:r>
        <w:rPr>
          <w:rFonts w:ascii="Trebuchet MS" w:eastAsia="Trebuchet MS" w:hAnsi="Trebuchet MS" w:cs="Trebuchet MS"/>
          <w:sz w:val="22"/>
          <w:szCs w:val="22"/>
        </w:rPr>
        <w:t xml:space="preserve"> obecność podczas każdego meczu jednego mopera wyposażonego w odpowiedni sprzęt. 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Organizator zobowiązany jest do zamieszczania we wszelkich materiałach promocyjno-reklamowych logotypu mistrzostw, który zostanie dostarcz</w:t>
      </w:r>
      <w:r>
        <w:rPr>
          <w:rFonts w:ascii="Trebuchet MS" w:eastAsia="Trebuchet MS" w:hAnsi="Trebuchet MS" w:cs="Trebuchet MS"/>
          <w:sz w:val="22"/>
          <w:szCs w:val="22"/>
        </w:rPr>
        <w:t>ony przez PZKosz.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Organizator turnieju powiadomi właściwy miejscowo WZKosz o konieczności pozyskania obsady sędziów stolikowych w składzie: sekretarz zawodów, mierzący czas gry, mierzący czas akcji.</w:t>
      </w:r>
    </w:p>
    <w:p w:rsidR="00226699" w:rsidRDefault="001F2096">
      <w:pPr>
        <w:pStyle w:val="normal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Organizator turnieju </w:t>
      </w:r>
      <w:r>
        <w:rPr>
          <w:rFonts w:ascii="Trebuchet MS" w:eastAsia="Trebuchet MS" w:hAnsi="Trebuchet MS" w:cs="Trebuchet MS"/>
          <w:sz w:val="22"/>
          <w:szCs w:val="22"/>
        </w:rPr>
        <w:t>zapewnia</w:t>
      </w:r>
      <w:r>
        <w:rPr>
          <w:rFonts w:ascii="Trebuchet MS" w:eastAsia="Trebuchet MS" w:hAnsi="Trebuchet MS" w:cs="Trebuchet MS"/>
          <w:sz w:val="22"/>
          <w:szCs w:val="22"/>
        </w:rPr>
        <w:t xml:space="preserve"> opiekę medyczną co najmniej na 30 minut przed rozpoczęciem meczu aż do momentu opuszczenia hali przez drużyny i sędziów (lub wcześniej za zgodą komisarza meczu) w postaci co najmniej jednej osoby </w:t>
      </w:r>
      <w:r>
        <w:rPr>
          <w:rFonts w:ascii="Trebuchet MS" w:eastAsia="Trebuchet MS" w:hAnsi="Trebuchet MS" w:cs="Trebuchet MS"/>
          <w:sz w:val="22"/>
          <w:szCs w:val="22"/>
        </w:rPr>
        <w:lastRenderedPageBreak/>
        <w:t>posiadającej uprawnienia ratownika medycznego lub lekarza s</w:t>
      </w:r>
      <w:r>
        <w:rPr>
          <w:rFonts w:ascii="Trebuchet MS" w:eastAsia="Trebuchet MS" w:hAnsi="Trebuchet MS" w:cs="Trebuchet MS"/>
          <w:sz w:val="22"/>
          <w:szCs w:val="22"/>
        </w:rPr>
        <w:t>ystemu lub pielęgniarki systemu w rozumieniu ustawy z 8 września 2006 r. o Państwowym Ratownictwie Medycznym. W przypadku braku wymaganej opieki medycznej mecz Mistrzostw nie może się rozpocząć.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przypadku, gdy osoby, w tym kibice, związane z drużyną, uniemożliwiają rozegranie lub dokończenie meczu z powodów związanych z bezpieczeństwem, przepisami gry itp., Wydział Rozgrywek PZKosz może postanowić o walkowerze na niekorzyść tej drużyny.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Mecz Mis</w:t>
      </w:r>
      <w:r>
        <w:rPr>
          <w:rFonts w:ascii="Trebuchet MS" w:eastAsia="Trebuchet MS" w:hAnsi="Trebuchet MS" w:cs="Trebuchet MS"/>
          <w:sz w:val="22"/>
          <w:szCs w:val="22"/>
        </w:rPr>
        <w:t xml:space="preserve">trzostw  musi być rejestrowany </w:t>
      </w:r>
      <w:r>
        <w:rPr>
          <w:rFonts w:ascii="Trebuchet MS" w:eastAsia="Trebuchet MS" w:hAnsi="Trebuchet MS" w:cs="Trebuchet MS"/>
          <w:b/>
          <w:sz w:val="22"/>
          <w:szCs w:val="22"/>
        </w:rPr>
        <w:t>i transmitowany „na żywo” na kanale You Tube PZKosz</w:t>
      </w:r>
      <w:r>
        <w:rPr>
          <w:rFonts w:ascii="Trebuchet MS" w:eastAsia="Trebuchet MS" w:hAnsi="Trebuchet MS" w:cs="Trebuchet MS"/>
          <w:sz w:val="22"/>
          <w:szCs w:val="22"/>
        </w:rPr>
        <w:t xml:space="preserve"> przez operatora kamery wyznaczonego przez klub gospodarza meczu, za pomocą kamery wideo, która zostanie umiejscowiona w miejscu umożliwiającym rejestrację zachowań osób w st</w:t>
      </w:r>
      <w:r>
        <w:rPr>
          <w:rFonts w:ascii="Trebuchet MS" w:eastAsia="Trebuchet MS" w:hAnsi="Trebuchet MS" w:cs="Trebuchet MS"/>
          <w:sz w:val="22"/>
          <w:szCs w:val="22"/>
        </w:rPr>
        <w:t xml:space="preserve">refie ławki drużyny, zapewniającym dobrą widoczność, niezależnie od zachowań publiczności i gwarantujące stabilność obrazu (zaleca się lokalizację kamery naprzeciw stolika </w:t>
      </w:r>
      <w:r>
        <w:rPr>
          <w:rFonts w:ascii="Trebuchet MS" w:eastAsia="Trebuchet MS" w:hAnsi="Trebuchet MS" w:cs="Trebuchet MS"/>
          <w:sz w:val="22"/>
          <w:szCs w:val="22"/>
        </w:rPr>
        <w:t>sędziowskiego</w:t>
      </w:r>
      <w:r>
        <w:rPr>
          <w:rFonts w:ascii="Trebuchet MS" w:eastAsia="Trebuchet MS" w:hAnsi="Trebuchet MS" w:cs="Trebuchet MS"/>
          <w:sz w:val="22"/>
          <w:szCs w:val="22"/>
        </w:rPr>
        <w:t>).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5"/>
          <w:tab w:val="left" w:pos="786"/>
          <w:tab w:val="left" w:pos="852"/>
        </w:tabs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2" w:name="_heading=h.1fob9te" w:colFirst="0" w:colLast="0"/>
      <w:bookmarkEnd w:id="2"/>
      <w:r>
        <w:rPr>
          <w:rFonts w:ascii="Trebuchet MS" w:eastAsia="Trebuchet MS" w:hAnsi="Trebuchet MS" w:cs="Trebuchet MS"/>
          <w:sz w:val="22"/>
          <w:szCs w:val="22"/>
        </w:rPr>
        <w:t>Zapis wideo meczu musi się charakteryzować klarowną wizją i fonią, b</w:t>
      </w:r>
      <w:r>
        <w:rPr>
          <w:rFonts w:ascii="Trebuchet MS" w:eastAsia="Trebuchet MS" w:hAnsi="Trebuchet MS" w:cs="Trebuchet MS"/>
          <w:sz w:val="22"/>
          <w:szCs w:val="22"/>
        </w:rPr>
        <w:t xml:space="preserve">ez dodatkowych znaczników na ekranie (czysty obraz). Mecz powinien być zarejestrowany w sposób ciągły, w tym przerwy </w:t>
      </w:r>
      <w:r>
        <w:rPr>
          <w:rFonts w:ascii="Trebuchet MS" w:eastAsia="Trebuchet MS" w:hAnsi="Trebuchet MS" w:cs="Trebuchet MS"/>
          <w:sz w:val="22"/>
          <w:szCs w:val="22"/>
        </w:rPr>
        <w:t>pomiędzy</w:t>
      </w:r>
      <w:r>
        <w:rPr>
          <w:rFonts w:ascii="Trebuchet MS" w:eastAsia="Trebuchet MS" w:hAnsi="Trebuchet MS" w:cs="Trebuchet MS"/>
          <w:sz w:val="22"/>
          <w:szCs w:val="22"/>
        </w:rPr>
        <w:t xml:space="preserve"> kwartami, od rozpoczęcia prezentacji drużyn do momentu opuszczenia boiska przez sędziów, zawodników i trenerów po meczu. Podczas p</w:t>
      </w:r>
      <w:r>
        <w:rPr>
          <w:rFonts w:ascii="Trebuchet MS" w:eastAsia="Trebuchet MS" w:hAnsi="Trebuchet MS" w:cs="Trebuchet MS"/>
          <w:sz w:val="22"/>
          <w:szCs w:val="22"/>
        </w:rPr>
        <w:t>rzerw w grze należy pokazywać boisko w miarę możliwości szerokim kadrem skoncentrowanym na środku boiska. Nie należy kierować kamery na tablicę wyników. W razie zaistnienia zdarzeń istotnych poza kadrem kamery, zwłaszcza podczas przerw w grze, osoba nagryw</w:t>
      </w:r>
      <w:r>
        <w:rPr>
          <w:rFonts w:ascii="Trebuchet MS" w:eastAsia="Trebuchet MS" w:hAnsi="Trebuchet MS" w:cs="Trebuchet MS"/>
          <w:sz w:val="22"/>
          <w:szCs w:val="22"/>
        </w:rPr>
        <w:t>ająca powinna podjąć starania o jak najszybsze skierowanie kamery w tę stronę.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Zapis meczu zostanie umieszczony na serwerze FTP wskazanym przez Wydział Rozgrywek PZKosz w oddzielnej instrukcji najpóźniej do godziny 16.00 w pierwszym dniu roboczym po zakońc</w:t>
      </w:r>
      <w:r>
        <w:rPr>
          <w:rFonts w:ascii="Trebuchet MS" w:eastAsia="Trebuchet MS" w:hAnsi="Trebuchet MS" w:cs="Trebuchet MS"/>
          <w:sz w:val="22"/>
          <w:szCs w:val="22"/>
        </w:rPr>
        <w:t>zeniu turnieju. Jeśli mecz był rejestrowany w celu emisji przez stację telewizyjn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ą, organizator meczu jest zobowiązany dostarczyć tą samą drogą i w tym samym terminie także pełny zapis meczu dokonany przez stację telewizyjną.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Komisarz jest zobowiązany do 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apewnienia, że końcowy wydruk statystyczny w pełni zgadza się z protokołem meczu pod względem liczby fauli, punktów i faktu występu zawodnika.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Obowiązkiem organizatora jest zapewnienie bezpieczeństwa drużynom, sędziom, komisarzowi, przedstawicielom władz sportowych i widzom oraz zapewnienie porządku przed, w czasie i bezpośrednio po zawodach w zakresie wynikającym z powszechnie obowiązujących prz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episów prawa. Bezpieczeństwo w/w uczestnikom meczu musi być zapewnione do momentu opuszczenia parkingu przy hali przez sędziów, komisarza i drużyny gości.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Organizator zapewni, że w żadnym momencie przed meczem, podczas meczu i po meczu (do opuszczenia bois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ka przez drużyny i sędziów) nie dojdzie w obrębie hali i parkingu wokół niej do bójek i innych aktów przemocy.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Organizator zapewni, że w szatni sędziowskiej przebywać będą tylko sędziowie boiskowi i komisarz meczu.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Na boisku i w strefie dwóch metrów wokół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niego (włączając strefy ławek) przez cały czas trwania meczu nie mogą przebywać żadne inne osoby poza zawodnikami, trenerami, osobami towarzyszącymi i sędziami boiskowymi. Wyjątkiem są zespoły taneczne, maskotki i uczestnicy konkursów - ale wyłącznie podcz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as przerw w grze. Wszystkie inne osoby, w tym moperzy i pracownicy ochrony, mogą wejść na boisko lub w strefę dwóch metrów wyłącznie na żądanie lub prośbę komisarza lub sędziów boiskowych.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Przed meczem, podczas meczu i po meczu (do opuszczenia boiska przez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drużyny i sędziów) nie wolno w hali używać materiałów niebezpiecznych (race,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petardy, lasery, serpentyny i inne przedmioty), niezgodnych z ustawą o bezpieczeństwie imprez masowych.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przed meczem, podczas meczu i po meczu (do opuszczenia b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oiska przez drużyny i sędziów) rzucać na boisko żadnych przedmiotów.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wznosić okrzyków rasistowskich i nazistowskich, kolportować ulotek i eksponować haseł o treści rasistowskiej i nazistowskiej.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wznosić okrzyków, kolport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ować ulotek i eksponować haseł obrażających lub godzących w dobre imię PZKosz, sędziów, komisarza, drużyny przeciwnika lub innych drużyn lub wulgarnych w swojej treści.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wznosić okrzyków lub eksponować haseł niezwiązanych w swojej treści 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meczem, z wyjątkiem zaakceptowanych przez komisarza meczu transparentów o treściach pozytywnych lub charytatywnych. W razie wątpliwości o dopuszczeniu lub niedopuszczeniu transparentu decyduje komisarz.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niszczyć elementów wyposażenia hal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i. W przypadku uszkodzeń mienia lub środków trwałych dokonanych przez zawodników, trenerów, osoby towarzyszące na ławce koszty napraw ponosi WZKosz, który wystawił do gry tę drużynę.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60 minut do meczu musi być zapewniony pełny dostęp do szatni dla sędziów i obu drużyn.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trenerzy i inne osoby towarzyszące (przebywające w strefie ławki) ubrani w długie spodnie i pełne obuwie sportowe lub wyjściowe. Fizjoterapeuta i trener przygotowania motorycznego mogą być ubrani w krótkie spodenki. 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POSTĘPOWANIE DYSCYPLINARNE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Sprawy dyscyplinarne związane z udziałem w rozgrywkach Mistrzostw reguluje Regulamin Dyscyplinarny PZKosz.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sprawach wymagających decyzji na miejscu rozgrywania turnieju, poza ostatnim dniem turnieju, organem I instancji jest komisarz turnieju, działający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na podstawie Regulaminu Dyscyplinarnego PZKosz. Rozstrzygnięcie w sprawie dyscyplinarnej komisarz wydaje niezwłocznie, nie później niż dwie godziny po ostatnim meczu dnia turnieju.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Sprawy dyscyplinarne zaistniałe w ostatnim dniu turnieju rozpatruje na wni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osek Wydziału Rozgrywek Sędzia Dyscyplinarny PZKosz.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Instancją odwoławczą od decyzji komisarza w sprawie dyscyplinarnej jest podczas turnieju Jury d'Appel składające się z przedstawicieli drużyn uczestniczących, sędziów oraz przedstawiciela Wydziału Szkole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nia Departamentu Sportu obecnego na turnieju. Jury d'Appel musi być powołane podczas odprawy przed turniejem. Jury d'Appel wydaje decyzje w sprawach związanych z protestem z mocą Komisji Odwoławczej PZKosz, według procedur zawartych w Regulaminie Dyscyplin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arnym PZKosz.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567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KARY ADMINISTRACYJNE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Drużyna, która nie wywiązuje się z obowiązków przewidzianych w niniejszym Regulaminie, może zostać ukarany karą administracyjną. Wysokość kar administracyjnych jest przewidziana na Liście Kar Administracyjnych.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Do nałoże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nia kar administracyjnych uprawniony jest Wydział Rozgrywek PZKosz.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Od decyzji w sprawie kar administracyjnych nie przysługuje odwołanie.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Kary administracyjne nakładane są wyłącznie na drużynę biorącą udział w Mistrzostwach.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sprawach budzących wątpliwości lub w sprawach skomplikowanych nałożenie kary lub opłaty powinno być poprzedzone wyjaśnieniem okoliczności faktycznych sprawy na podstawie dostępnych środków dowodowych, w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szczególności takich jak sprawozdanie komisarza, sę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dziego głównego, a także zapisu spotkania w formie wideo. Wydział Rozgrywek PZKosz może też wystąpić o wyjaśnienia do podmiotu zagrożonego nałożeniem kary.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Wymiar kary określony na Liście Kar Administracyjnych dotyczy jednostkowej czynności zabronionej. Je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śli czynność zabroniona podlegająca karze miała miejsce wielokrotnie podczas meczu, Wydział Rozgrywek PZKosz ma prawo nałożyć karę w wysokości wielokrotności podanej kwoty.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szczególnie uzasadnionych przypadkach Wydział Rozgrywek PZKosz może orzec nadzwyc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zajne złagodzenie kary, orzec kary niższe niż przewidziane na Liście Kar Administracyjnych lub odstąpić od nałożenia kary. </w:t>
      </w:r>
    </w:p>
    <w:p w:rsidR="00226699" w:rsidRDefault="001F2096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przypadku, gdy nie ma wątpliwości, że czynności zabronione (objęte karami) zostały dokonane przez osoby, w tym kibiców, związane 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drużyną niebędącą gospodarzem turnieju, kara administracyjna może być nałożona na WZKosz tej drużyny.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64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ZASADY DOTYCZĄCE UDZIAŁU ZAWODNIKÓW W GRZE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Zasady opisane w pkt. 11 są tożsame z obowiązującymi w cyklu U13.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Drużyna, która przed rozpoczęciem meczu liczy mniej niż 10 zawodników nie zostanie dopuszczona do zawodów, a mecz zostanie zweryfikowany jako walkower dla drużyny przeciwnej.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każdej z pierwszych  dwóch kwart musi wziąć udział co najmniej 10 zawodników, p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rzy czym zawodnicy, którzy wzięli udział w grze w pierwszych pięciu minutach każdej z dwóch pierwszych kwart, nie mogą wziąć udziału w grze w drugich pięciu minutach każdej z dwóch pierwszych kwart. 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celu egzekucji przepisów z pkt. 11.3. kwarty 1 i 2  zo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stają podzielone na dwa pięciominutowe okresy. W momencie, w którym upływa dokładnie 5 minut gry w kwarcie, należy grę przerwać (sygnałem sędziego mierzącego czas gry), aby możliwe było dokonanie zmian zawodników. Następnie gra zostaje wznowiona na zasadac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h naprzemiennego posiadania piłki (tzw. strzałka), podobnie jak w przypadku zakończenia kwarty, a zegar akcji powinien być ustawiony na 24 sekundy. Grę należy wznowić bezzwłocznie, bez przerw i narad trenerów z drużyną. W celu skrócenia przerw, preferowane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jest przygotowanie przez trenerów zmiany z wyprzedzeniem.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Podział składu na piątki na każdy z dwóch okresów w kwarcie (od 10:00 do 5:00 na zegarze i od 5:00 do 0:00 na zegarze) w każdej z kwart może być inny, zależy to wyłącznie od decyzji trenera. Należy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zawsze zachować zasadę, że zawodnicy grający w pierwszym okresie danej kwarty, nie mogą wystąpić w drugim okresie tej samej kwarty. Jest więc możliwe, że zawodnik będzie przebywał na boisku w kolejnych 10 minutach, pod warunkiem, że będą to okresy przedzi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elone przerwą między kwartami – np. ostatnie pięć minut w pierwszej kwarcie i pierwsze pięć minut w drugiej kwarcie.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przypadku, gdy drużyna liczy więcej niż 10 zawodników, możliwe jest dokonywanie zmian podczas każdego z dwóch okresów w kwarcie (od 10:00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do 5:00 na zegarze i od 5:00 do 0:00 na zegarze), ale nadal obowiązuje zasada, że wszyscy zawodnicy grający w pierwszym okresie danej kwarty, nie mogą wystąpić w drugim okresie tej samej kwarty. Czyli np. w przypadku dokonania dwóch zmian przez trenera w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pierwszym okresie kwarty, cała siódemka zawodników uczestniczących w grze w tym okresie nie może wystąpić w drugim okresie tej samej kwarty.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przypadku, gdy na skutek kontuzji lub przekroczenia limitu fauli w drużynie przed zakończeniem kwarty 3 pozostało do dyspozycji trenera mniej niż 10 zawodników, na zasadzie wyjątku do gry w drugim okresie kwarty może wystąpić zawodnik grający w pierwszym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okresie, zastępując wyeliminowanego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z gry zawodnika. Jeśli sytuacja zdekompletowania drużyny ma miejsce w pierwszej  kwarcie, w kolejnej kwarcie prawo gry w obu okresach na zasadzie wyjątku musi dotyczyć innego zawodnika. Drużyna przeciwnika nie posiada 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tego tytułu żadnych przywilejów i rotacja zawodników musi się w niej odbywać na normalnych zasadach, bez wyjątków.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trzeciej i czwartej kwarcie wszyscy zawodnicy zespołu mogą brać udział w grze w</w:t>
      </w:r>
      <w:r>
        <w:rPr>
          <w:rFonts w:ascii="Trebuchet MS" w:eastAsia="Trebuchet MS" w:hAnsi="Trebuchet MS" w:cs="Trebuchet MS"/>
          <w:sz w:val="22"/>
          <w:szCs w:val="22"/>
        </w:rPr>
        <w:t xml:space="preserve"> dowolnym wymiarze, o ile nie przekroczyli limitu fauli lub</w:t>
      </w:r>
      <w:r>
        <w:rPr>
          <w:rFonts w:ascii="Trebuchet MS" w:eastAsia="Trebuchet MS" w:hAnsi="Trebuchet MS" w:cs="Trebuchet MS"/>
          <w:sz w:val="22"/>
          <w:szCs w:val="22"/>
        </w:rPr>
        <w:t xml:space="preserve"> nie zostali zdyskwalifikowani.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Niezastosowanie się do powyższych zasad gry skutkować będzie orzeczeniem walkowera dla drużyny przeciwnej.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tabs>
          <w:tab w:val="left" w:pos="113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rozgrywkach obowiązuje nakaz obrony systemem „każdy swego”.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tabs>
          <w:tab w:val="left" w:pos="113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Nakaz obrony „każdy swego” wyklucza obronę „zona press”, czyli obronę strefową na całym boisku. Dozwolone jest natomiast stosowanie obrony „każdy swego” na całym boisku z podwajaniem w dowolnym miejscu boiska.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tabs>
          <w:tab w:val="left" w:pos="113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Przy interpretacji nakazu gry obrony „każdy swego” należy zwrócić szczególną uwagę na następujące zachowania zawodników obrony: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tabs>
          <w:tab w:val="left" w:pos="1985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brak nacisku na zawodnika z piłką,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tabs>
          <w:tab w:val="left" w:pos="1985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przebywanie w obszarze ograniczonym zawodnika obrony niemające uzasadnienia ustawieniem zawod</w:t>
      </w:r>
      <w:r>
        <w:rPr>
          <w:rFonts w:ascii="Trebuchet MS" w:eastAsia="Trebuchet MS" w:hAnsi="Trebuchet MS" w:cs="Trebuchet MS"/>
          <w:sz w:val="22"/>
          <w:szCs w:val="22"/>
        </w:rPr>
        <w:t>ników w ataku przez więcej niż 5 sekund (tzw. błąd 5 sekund w obronie),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tabs>
          <w:tab w:val="left" w:pos="1985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brak zmiany pozycji na boisku zawodników obrony pomimo zmian pozycji zawodników ataku.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tabs>
          <w:tab w:val="left" w:pos="113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Za realizację niniejszych postanowień odpowiada trener drużyny, a w razie jego nieobecności asyst</w:t>
      </w:r>
      <w:r>
        <w:rPr>
          <w:rFonts w:ascii="Trebuchet MS" w:eastAsia="Trebuchet MS" w:hAnsi="Trebuchet MS" w:cs="Trebuchet MS"/>
          <w:sz w:val="22"/>
          <w:szCs w:val="22"/>
        </w:rPr>
        <w:t>ent trenera (jeśli jest obecny) lub opiekun drużyny.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tabs>
          <w:tab w:val="left" w:pos="113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W przypadku zaobserwowania zachowań zawodników obrony wymienionych w pkt. 11.12.: 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tabs>
          <w:tab w:val="left" w:pos="1985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po raz pierwszy - sędzia ma obowiązek przerwać grę i zwrócić uwagę trenerowi zespołu, że nie stosuje on zasad obrony gry</w:t>
      </w:r>
      <w:r>
        <w:rPr>
          <w:rFonts w:ascii="Trebuchet MS" w:eastAsia="Trebuchet MS" w:hAnsi="Trebuchet MS" w:cs="Trebuchet MS"/>
          <w:sz w:val="22"/>
          <w:szCs w:val="22"/>
        </w:rPr>
        <w:t xml:space="preserve"> „każdy swego”. Po zwróceniu uwagi grę należy wznowić zgodnie z przepisami gry w koszykówkę i przyznać drużynie atakującej nowy okres 24 sekund na rozegranie akcji.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tabs>
          <w:tab w:val="left" w:pos="1985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Po raz kolejny sędzia ma obowiązek przerwać grę - bez orzekania faula technicznego  i zarzą</w:t>
      </w:r>
      <w:r>
        <w:rPr>
          <w:rFonts w:ascii="Trebuchet MS" w:eastAsia="Trebuchet MS" w:hAnsi="Trebuchet MS" w:cs="Trebuchet MS"/>
          <w:sz w:val="22"/>
          <w:szCs w:val="22"/>
        </w:rPr>
        <w:t>dzić wykonanie jednego rzutu wolnego przez dowolnego zawodnika drużyny ataku, a następnie wręczyć piłkę drużynie ataku do wprowadzenia jej do gry z przedłużenia linii środkowej naprzeciw stolika sędziowskiego.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644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 xml:space="preserve">KOMUNIKACJA I PR 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Transmisje wideo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ind w:left="1985" w:hanging="851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Wszystkie prawa do transmisji video meczów należą wyłącznie do PZKosz.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ind w:left="1985" w:hanging="851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Wszystkie transmisje meczów przez lokalne telewizje (powyżej 3 minut) wymagają zgody PZKosz.  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przypadku transmisji telewizyjnej z wywiadami (informację o takiej transmisji drużyny ot</w:t>
      </w:r>
      <w:r>
        <w:rPr>
          <w:rFonts w:ascii="Trebuchet MS" w:eastAsia="Trebuchet MS" w:hAnsi="Trebuchet MS" w:cs="Trebuchet MS"/>
          <w:sz w:val="22"/>
          <w:szCs w:val="22"/>
        </w:rPr>
        <w:t xml:space="preserve">rzymają minimum 3 dni wcześniej) kluby mają obowiązek zapewnić udział: 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ind w:left="1985" w:hanging="851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głównego trenera w wywiadzie przedmeczowym na 45 minut przed meczem przy ściance do wywiadów;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ind w:left="1985" w:hanging="851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głównego trenera i zawodniczki (wytypowanej jak w punkcie 19.3.2.) w krótkim wywiadzie bez</w:t>
      </w:r>
      <w:r>
        <w:rPr>
          <w:rFonts w:ascii="Trebuchet MS" w:eastAsia="Trebuchet MS" w:hAnsi="Trebuchet MS" w:cs="Trebuchet MS"/>
          <w:sz w:val="22"/>
          <w:szCs w:val="22"/>
        </w:rPr>
        <w:t>pośrednio po zakończeniu meczu przy ściance do wywiadów;</w:t>
      </w:r>
    </w:p>
    <w:p w:rsidR="00226699" w:rsidRDefault="001F2096">
      <w:pPr>
        <w:pStyle w:val="normal"/>
        <w:widowControl w:val="0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ind w:left="1985" w:hanging="851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lastRenderedPageBreak/>
        <w:t>udział zawodniczek i trenerów w wywiadach jest obowiązkowy.</w:t>
      </w: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226699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644"/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644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LISTA KAR ADMINISTRACYJNYCH</w:t>
      </w:r>
    </w:p>
    <w:p w:rsidR="00226699" w:rsidRDefault="001F20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09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UWAGA! Lista stanowi uzupełnienie Regulaminu Opłat PZKosz i nie zawiera kar wynikających z Regulaminu Dyscyplinarnego PZKosz.</w:t>
      </w:r>
    </w:p>
    <w:tbl>
      <w:tblPr>
        <w:tblStyle w:val="a2"/>
        <w:tblW w:w="8418" w:type="dxa"/>
        <w:tblInd w:w="709" w:type="dxa"/>
        <w:tblLayout w:type="fixed"/>
        <w:tblLook w:val="0000"/>
      </w:tblPr>
      <w:tblGrid>
        <w:gridCol w:w="486"/>
        <w:gridCol w:w="4617"/>
        <w:gridCol w:w="1701"/>
        <w:gridCol w:w="1614"/>
      </w:tblGrid>
      <w:tr w:rsidR="00226699">
        <w:trPr>
          <w:trHeight w:val="567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lp.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podstawa prawna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99" w:rsidRDefault="001F2096">
            <w:pPr>
              <w:pStyle w:val="normal"/>
              <w:keepNext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 xml:space="preserve">kwota </w:t>
            </w:r>
          </w:p>
          <w:p w:rsidR="00226699" w:rsidRDefault="001F2096">
            <w:pPr>
              <w:pStyle w:val="normal"/>
              <w:keepNext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w zł</w:t>
            </w:r>
          </w:p>
        </w:tc>
      </w:tr>
      <w:tr w:rsidR="00226699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1.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Wycofanie drużyny z rozgrywek po zgłoszeniu przez WZKosz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pkt. 1.2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500</w:t>
            </w:r>
          </w:p>
        </w:tc>
      </w:tr>
      <w:tr w:rsidR="00226699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Niestawiennictwo drużyny na mecz lub walkower z innych przyczyn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pkt. 6.7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200</w:t>
            </w:r>
          </w:p>
        </w:tc>
      </w:tr>
      <w:tr w:rsidR="00226699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3.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Faul dyskwalifikujący trenera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pkt. 6.8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100</w:t>
            </w:r>
          </w:p>
        </w:tc>
      </w:tr>
      <w:tr w:rsidR="00226699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4.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Uchybienie w zachowaniu warunków koniecznych do rozegrania meczu lub wymogów organizacji meczu (za pojedyncze naruszenie)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pkt. 8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99" w:rsidRDefault="001F209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50</w:t>
            </w:r>
          </w:p>
        </w:tc>
      </w:tr>
    </w:tbl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64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DANE KONTAKTOWE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1276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Wydział Rozgrywek Departamentu Sportu PZKosz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adres: ul. Siedmiogrodzka 9, 01-204 Warszawa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telefon: +48 22 836 38 00, e-mail: </w:t>
      </w:r>
      <w:hyperlink r:id="rId11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rozgrywki@pzkosz.pll</w:t>
        </w:r>
      </w:hyperlink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konto bankowe 89 1240 5918 1111 0000 4910 0693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Logistyka rozgrywek Mistrzostw: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Katarzyna Sosin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hyperlink r:id="rId12">
        <w:r w:rsidR="001F2096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rozgrywki@pzkosz.pl</w:t>
        </w:r>
      </w:hyperlink>
      <w:r w:rsidR="001F209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telefon: +48 885 881 013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567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Kontakt dla mediów: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567"/>
        <w:rPr>
          <w:rFonts w:ascii="Trebuchet MS" w:eastAsia="Trebuchet MS" w:hAnsi="Trebuchet MS" w:cs="Trebuchet MS"/>
          <w:color w:val="000000"/>
          <w:sz w:val="22"/>
          <w:szCs w:val="22"/>
        </w:rPr>
      </w:pPr>
      <w:hyperlink r:id="rId13">
        <w:r w:rsidR="001F2096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media@pzk</w:t>
        </w:r>
        <w:r w:rsidR="001F2096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osz.pl</w:t>
        </w:r>
      </w:hyperlink>
      <w:r w:rsidR="001F209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567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ind w:left="284" w:right="5" w:firstLine="436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Dyrektor Wydziału Rozgrywek:</w:t>
      </w:r>
    </w:p>
    <w:p w:rsidR="00226699" w:rsidRDefault="001F2096">
      <w:pPr>
        <w:pStyle w:val="normal"/>
        <w:ind w:left="284" w:right="5" w:firstLine="43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Michał Lesiński</w:t>
      </w:r>
    </w:p>
    <w:p w:rsidR="00226699" w:rsidRDefault="00226699">
      <w:pPr>
        <w:pStyle w:val="normal"/>
        <w:ind w:left="284" w:right="5" w:firstLine="436"/>
        <w:jc w:val="both"/>
        <w:rPr>
          <w:rFonts w:ascii="Trebuchet MS" w:eastAsia="Trebuchet MS" w:hAnsi="Trebuchet MS" w:cs="Trebuchet MS"/>
          <w:sz w:val="22"/>
          <w:szCs w:val="22"/>
        </w:rPr>
      </w:pPr>
      <w:hyperlink r:id="rId14">
        <w:r w:rsidR="001F2096">
          <w:rPr>
            <w:rFonts w:ascii="Trebuchet MS" w:eastAsia="Trebuchet MS" w:hAnsi="Trebuchet MS" w:cs="Trebuchet MS"/>
            <w:color w:val="0563C1"/>
            <w:sz w:val="22"/>
            <w:szCs w:val="22"/>
            <w:u w:val="single"/>
          </w:rPr>
          <w:t>m.lesinski@pzkosz.pl</w:t>
        </w:r>
      </w:hyperlink>
      <w:r w:rsidR="001F2096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226699" w:rsidRDefault="001F2096">
      <w:pPr>
        <w:pStyle w:val="normal"/>
        <w:ind w:left="284" w:right="5" w:firstLine="436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telefon: +48 601 247 082</w:t>
      </w:r>
    </w:p>
    <w:p w:rsidR="00226699" w:rsidRDefault="00226699">
      <w:pPr>
        <w:pStyle w:val="normal"/>
        <w:ind w:left="284" w:right="5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226699" w:rsidRDefault="001F2096">
      <w:pPr>
        <w:pStyle w:val="normal"/>
        <w:ind w:left="284" w:right="5" w:firstLine="436"/>
        <w:jc w:val="both"/>
        <w:rPr>
          <w:rFonts w:ascii="Trebuchet MS" w:eastAsia="Trebuchet MS" w:hAnsi="Trebuchet MS" w:cs="Trebuchet MS"/>
          <w:strike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Wiceprezes Zarządu ds. komisarzy:</w:t>
      </w:r>
    </w:p>
    <w:p w:rsidR="00226699" w:rsidRDefault="001F2096">
      <w:pPr>
        <w:pStyle w:val="normal"/>
        <w:ind w:left="284" w:right="5" w:firstLine="43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Marek Lembrych</w:t>
      </w:r>
    </w:p>
    <w:p w:rsidR="00226699" w:rsidRDefault="00226699">
      <w:pPr>
        <w:pStyle w:val="normal"/>
        <w:ind w:left="284" w:right="5" w:firstLine="436"/>
        <w:jc w:val="both"/>
        <w:rPr>
          <w:rFonts w:ascii="Trebuchet MS" w:eastAsia="Trebuchet MS" w:hAnsi="Trebuchet MS" w:cs="Trebuchet MS"/>
          <w:sz w:val="22"/>
          <w:szCs w:val="22"/>
        </w:rPr>
      </w:pPr>
      <w:hyperlink r:id="rId15">
        <w:r w:rsidR="001F2096">
          <w:rPr>
            <w:rFonts w:ascii="Trebuchet MS" w:eastAsia="Trebuchet MS" w:hAnsi="Trebuchet MS" w:cs="Trebuchet MS"/>
            <w:color w:val="0563C1"/>
            <w:sz w:val="22"/>
            <w:szCs w:val="22"/>
            <w:u w:val="single"/>
          </w:rPr>
          <w:t>m.lembrych@pzkosz.pl</w:t>
        </w:r>
      </w:hyperlink>
      <w:r w:rsidR="001F2096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226699" w:rsidRDefault="001F2096">
      <w:pPr>
        <w:pStyle w:val="normal"/>
        <w:ind w:left="284" w:right="5" w:firstLine="436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telefon: +48 885 881 003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567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 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ab/>
        <w:t>Dział księgowości:</w:t>
      </w:r>
    </w:p>
    <w:p w:rsidR="00226699" w:rsidRDefault="001F2096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43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telefon: +48 885 881 015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567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226699" w:rsidRDefault="001F2096">
      <w:pPr>
        <w:pStyle w:val="normal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64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POSTANOWIENIA KOŃCOWE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Korespondencja pomiędzy osobami fizycznymi lub prawnymi wymienionymi w niniejszym regulaminie, a także pomiędzy tymi osobami a PZKosz powinna być prowadzona poprzez przesłanie pocztą elektroniczną zeskanowanych dokumentów, chyba, że przepis szczegółowy nar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zuca wymóg innej formy korespondencji.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We wszystkich innych kwestiach związanych z prowadzeniem rozgrywek mistrzowskich, a nieujętych w niniejszym Regulaminie decyduje Zarząd PZKosz, o ile przepisy szczególne nie przewidują w tych dziedzinach kompetencji 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nnych organów.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Zarząd PZKosz ma prawo do wprowadzenia zmian do niniejszego Regulaminu.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Prawo interpretacji niniejszego Regulaminu przysługuje Zarządowi PZKosz.</w:t>
      </w:r>
    </w:p>
    <w:p w:rsidR="00226699" w:rsidRDefault="001F2096">
      <w:pPr>
        <w:pStyle w:val="normal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Niniejszy Regulamin wchodzi w życie z dniem zatwierdzenia go przez Zarząd PZKosz i obowiązuje w sezonie 202</w:t>
      </w:r>
      <w:r>
        <w:rPr>
          <w:rFonts w:ascii="Trebuchet MS" w:eastAsia="Trebuchet MS" w:hAnsi="Trebuchet MS" w:cs="Trebuchet MS"/>
          <w:sz w:val="22"/>
          <w:szCs w:val="22"/>
        </w:rPr>
        <w:t>3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/202</w:t>
      </w:r>
      <w:r>
        <w:rPr>
          <w:rFonts w:ascii="Trebuchet MS" w:eastAsia="Trebuchet MS" w:hAnsi="Trebuchet MS" w:cs="Trebuchet MS"/>
          <w:sz w:val="22"/>
          <w:szCs w:val="22"/>
        </w:rPr>
        <w:t>4.</w:t>
      </w:r>
    </w:p>
    <w:p w:rsidR="00226699" w:rsidRDefault="00226699">
      <w:pPr>
        <w:pStyle w:val="normal"/>
        <w:pBdr>
          <w:top w:val="nil"/>
          <w:left w:val="nil"/>
          <w:bottom w:val="nil"/>
          <w:right w:val="nil"/>
          <w:between w:val="nil"/>
        </w:pBdr>
        <w:ind w:left="1134" w:hanging="708"/>
        <w:rPr>
          <w:rFonts w:ascii="Calibri" w:eastAsia="Calibri" w:hAnsi="Calibri" w:cs="Calibri"/>
          <w:color w:val="000000"/>
          <w:sz w:val="22"/>
          <w:szCs w:val="22"/>
        </w:rPr>
      </w:pPr>
    </w:p>
    <w:sectPr w:rsidR="00226699" w:rsidSect="00226699">
      <w:footerReference w:type="default" r:id="rId16"/>
      <w:pgSz w:w="11906" w:h="16838"/>
      <w:pgMar w:top="1417" w:right="1417" w:bottom="1417" w:left="1417" w:header="708" w:footer="28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096" w:rsidRDefault="001F2096" w:rsidP="00F84862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F2096" w:rsidRDefault="001F2096" w:rsidP="00F8486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99" w:rsidRDefault="00226699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1F2096">
      <w:rPr>
        <w:rFonts w:ascii="Calibri" w:eastAsia="Calibri" w:hAnsi="Calibri" w:cs="Calibri"/>
        <w:color w:val="000000"/>
        <w:sz w:val="22"/>
        <w:szCs w:val="22"/>
      </w:rPr>
      <w:instrText>PAGE</w:instrText>
    </w:r>
    <w:r w:rsidR="00F84862"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F84862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226699" w:rsidRDefault="00226699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096" w:rsidRDefault="001F2096" w:rsidP="00F84862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F2096" w:rsidRDefault="001F2096" w:rsidP="00F84862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1BBC"/>
    <w:multiLevelType w:val="multilevel"/>
    <w:tmpl w:val="79A29980"/>
    <w:lvl w:ilvl="0">
      <w:start w:val="6"/>
      <w:numFmt w:val="decimal"/>
      <w:lvlText w:val="%1."/>
      <w:lvlJc w:val="left"/>
      <w:pPr>
        <w:ind w:left="384" w:hanging="384"/>
      </w:pPr>
      <w:rPr>
        <w:vertAlign w:val="baseline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abstractNum w:abstractNumId="1">
    <w:nsid w:val="0BBA0C6A"/>
    <w:multiLevelType w:val="multilevel"/>
    <w:tmpl w:val="F6F0DDA6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>
    <w:nsid w:val="259A43A9"/>
    <w:multiLevelType w:val="multilevel"/>
    <w:tmpl w:val="D49873D2"/>
    <w:lvl w:ilvl="0">
      <w:start w:val="3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>
    <w:nsid w:val="2C9B6D1E"/>
    <w:multiLevelType w:val="multilevel"/>
    <w:tmpl w:val="D99A7274"/>
    <w:lvl w:ilvl="0">
      <w:numFmt w:val="bullet"/>
      <w:lvlText w:val="⁻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35BA62C2"/>
    <w:multiLevelType w:val="multilevel"/>
    <w:tmpl w:val="D208FE7E"/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>
    <w:nsid w:val="5B9A7720"/>
    <w:multiLevelType w:val="multilevel"/>
    <w:tmpl w:val="25A6CDA0"/>
    <w:lvl w:ilvl="0">
      <w:start w:val="5"/>
      <w:numFmt w:val="decimal"/>
      <w:lvlText w:val="%1."/>
      <w:lvlJc w:val="left"/>
      <w:pPr>
        <w:ind w:left="576" w:hanging="576"/>
      </w:pPr>
      <w:rPr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1332" w:hanging="720"/>
      </w:pPr>
      <w:rPr>
        <w:vertAlign w:val="baseline"/>
      </w:rPr>
    </w:lvl>
    <w:lvl w:ilvl="2">
      <w:start w:val="3"/>
      <w:numFmt w:val="decimal"/>
      <w:lvlText w:val="%1.%2.%3."/>
      <w:lvlJc w:val="left"/>
      <w:pPr>
        <w:ind w:left="194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16" w:hanging="1079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vertAlign w:val="baseline"/>
      </w:rPr>
    </w:lvl>
  </w:abstractNum>
  <w:abstractNum w:abstractNumId="6">
    <w:nsid w:val="60F271F6"/>
    <w:multiLevelType w:val="multilevel"/>
    <w:tmpl w:val="60EE1B42"/>
    <w:lvl w:ilvl="0">
      <w:start w:val="7"/>
      <w:numFmt w:val="decimal"/>
      <w:lvlText w:val="%1."/>
      <w:lvlJc w:val="left"/>
      <w:pPr>
        <w:ind w:left="420" w:hanging="4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abstractNum w:abstractNumId="7">
    <w:nsid w:val="7068196E"/>
    <w:multiLevelType w:val="multilevel"/>
    <w:tmpl w:val="9BEE86F8"/>
    <w:lvl w:ilvl="0">
      <w:start w:val="7"/>
      <w:numFmt w:val="decimal"/>
      <w:lvlText w:val="%1."/>
      <w:lvlJc w:val="left"/>
      <w:pPr>
        <w:ind w:left="420" w:hanging="420"/>
      </w:pPr>
      <w:rPr>
        <w:vertAlign w:val="baseline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abstractNum w:abstractNumId="8">
    <w:nsid w:val="7395742F"/>
    <w:multiLevelType w:val="multilevel"/>
    <w:tmpl w:val="F086DF8E"/>
    <w:lvl w:ilvl="0">
      <w:start w:val="4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>
    <w:nsid w:val="75087628"/>
    <w:multiLevelType w:val="multilevel"/>
    <w:tmpl w:val="3E5E12EE"/>
    <w:lvl w:ilvl="0">
      <w:start w:val="1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>
    <w:nsid w:val="7E4E530C"/>
    <w:multiLevelType w:val="multilevel"/>
    <w:tmpl w:val="637E7026"/>
    <w:lvl w:ilvl="0">
      <w:start w:val="5"/>
      <w:numFmt w:val="decimal"/>
      <w:lvlText w:val="%1."/>
      <w:lvlJc w:val="left"/>
      <w:pPr>
        <w:ind w:left="576" w:hanging="576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16" w:hanging="1079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vertAlign w:val="baseline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699"/>
    <w:rsid w:val="001F2096"/>
    <w:rsid w:val="00226699"/>
    <w:rsid w:val="00F8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26699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ar-SA"/>
    </w:rPr>
  </w:style>
  <w:style w:type="paragraph" w:styleId="Nagwek1">
    <w:name w:val="heading 1"/>
    <w:basedOn w:val="normal"/>
    <w:next w:val="normal"/>
    <w:rsid w:val="002266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226699"/>
    <w:pPr>
      <w:keepNext/>
      <w:numPr>
        <w:ilvl w:val="1"/>
        <w:numId w:val="1"/>
      </w:numPr>
      <w:spacing w:after="0" w:line="100" w:lineRule="atLeast"/>
      <w:ind w:left="-1" w:hanging="1"/>
      <w:jc w:val="center"/>
      <w:outlineLvl w:val="1"/>
    </w:pPr>
    <w:rPr>
      <w:rFonts w:ascii="Times New Roman" w:eastAsia="Times New Roman" w:hAnsi="Times New Roman"/>
      <w:b/>
      <w:kern w:val="1"/>
      <w:sz w:val="24"/>
      <w:szCs w:val="20"/>
    </w:rPr>
  </w:style>
  <w:style w:type="paragraph" w:styleId="Nagwek3">
    <w:name w:val="heading 3"/>
    <w:basedOn w:val="normal"/>
    <w:next w:val="normal"/>
    <w:rsid w:val="002266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2266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22669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226699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"/>
    <w:rsid w:val="00226699"/>
  </w:style>
  <w:style w:type="table" w:customStyle="1" w:styleId="TableNormal">
    <w:name w:val="Table Normal"/>
    <w:rsid w:val="002266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22669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226699"/>
  </w:style>
  <w:style w:type="table" w:customStyle="1" w:styleId="TableNormal0">
    <w:name w:val="Table Normal"/>
    <w:rsid w:val="002266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1">
    <w:name w:val="WW8Num2z1"/>
    <w:rsid w:val="00226699"/>
    <w:rPr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3z0">
    <w:name w:val="WW8Num3z0"/>
    <w:rsid w:val="00226699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226699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sid w:val="00226699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topkaZnak">
    <w:name w:val="Stopka Znak"/>
    <w:rsid w:val="00226699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Hipercze">
    <w:name w:val="Hyperlink"/>
    <w:rsid w:val="0022669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sid w:val="002266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rsid w:val="00226699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sid w:val="00226699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sid w:val="00226699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odstawowyZnak">
    <w:name w:val="Tekst podstawowy Znak"/>
    <w:rsid w:val="00226699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/>
    </w:rPr>
  </w:style>
  <w:style w:type="character" w:customStyle="1" w:styleId="Nagwek2Znak">
    <w:name w:val="Nagłówek 2 Znak"/>
    <w:rsid w:val="00226699"/>
    <w:rPr>
      <w:rFonts w:ascii="Times New Roman" w:eastAsia="Times New Roman" w:hAnsi="Times New Roman"/>
      <w:b/>
      <w:w w:val="100"/>
      <w:kern w:val="1"/>
      <w:position w:val="-1"/>
      <w:sz w:val="24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rsid w:val="0022669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226699"/>
    <w:pPr>
      <w:widowControl w:val="0"/>
      <w:spacing w:after="120" w:line="240" w:lineRule="auto"/>
    </w:pPr>
    <w:rPr>
      <w:rFonts w:ascii="Times New Roman" w:eastAsia="Times New Roman" w:hAnsi="Times New Roman"/>
      <w:sz w:val="24"/>
      <w:szCs w:val="24"/>
      <w:lang w:val="es-ES"/>
    </w:rPr>
  </w:style>
  <w:style w:type="paragraph" w:styleId="Lista">
    <w:name w:val="List"/>
    <w:basedOn w:val="Tekstpodstawowy"/>
    <w:rsid w:val="00226699"/>
    <w:rPr>
      <w:rFonts w:cs="Mangal"/>
    </w:rPr>
  </w:style>
  <w:style w:type="paragraph" w:customStyle="1" w:styleId="Podpis1">
    <w:name w:val="Podpis1"/>
    <w:basedOn w:val="Normalny"/>
    <w:rsid w:val="002266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26699"/>
    <w:pPr>
      <w:suppressLineNumbers/>
    </w:pPr>
    <w:rPr>
      <w:rFonts w:cs="Mangal"/>
    </w:rPr>
  </w:style>
  <w:style w:type="paragraph" w:styleId="Akapitzlist">
    <w:name w:val="List Paragraph"/>
    <w:basedOn w:val="Normalny"/>
    <w:rsid w:val="00226699"/>
    <w:pPr>
      <w:spacing w:after="0" w:line="240" w:lineRule="auto"/>
      <w:ind w:left="720" w:firstLine="0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rsid w:val="002266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266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22669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226699"/>
    <w:rPr>
      <w:b/>
      <w:bCs/>
    </w:rPr>
  </w:style>
  <w:style w:type="paragraph" w:styleId="Tekstdymka">
    <w:name w:val="Balloon Text"/>
    <w:basedOn w:val="Normalny"/>
    <w:rsid w:val="002266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226699"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226699"/>
    <w:pPr>
      <w:suppressLineNumbers/>
    </w:pPr>
  </w:style>
  <w:style w:type="paragraph" w:customStyle="1" w:styleId="Nagwektabeli">
    <w:name w:val="Nagłówek tabeli"/>
    <w:basedOn w:val="Zawartotabeli"/>
    <w:rsid w:val="00226699"/>
    <w:pPr>
      <w:jc w:val="center"/>
    </w:pPr>
    <w:rPr>
      <w:b/>
      <w:bCs/>
    </w:rPr>
  </w:style>
  <w:style w:type="character" w:customStyle="1" w:styleId="Nierozpoznanawzmianka">
    <w:name w:val="Nierozpoznana wzmianka"/>
    <w:qFormat/>
    <w:rsid w:val="00226699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Poprawka">
    <w:name w:val="Revision"/>
    <w:rsid w:val="0022669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ar-SA"/>
    </w:rPr>
  </w:style>
  <w:style w:type="paragraph" w:styleId="Podtytu">
    <w:name w:val="Subtitle"/>
    <w:basedOn w:val="normal"/>
    <w:next w:val="normal"/>
    <w:rsid w:val="002266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266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22669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22669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22669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grywki@pzkosz.pl" TargetMode="External"/><Relationship Id="rId13" Type="http://schemas.openxmlformats.org/officeDocument/2006/relationships/hyperlink" Target="mailto:media@pzkosz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zgrywki@pzkosz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zgrywki@pzkosz.p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.lembrych@pzkosz.pl" TargetMode="External"/><Relationship Id="rId10" Type="http://schemas.openxmlformats.org/officeDocument/2006/relationships/hyperlink" Target="http://www.fiba.basketball/equipment-and-venue/approved-basketball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zgrywki@pzkosz.pl" TargetMode="External"/><Relationship Id="rId14" Type="http://schemas.openxmlformats.org/officeDocument/2006/relationships/hyperlink" Target="mailto:m.lesinski@pzkos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9kTI3TbZ+b5imU9eLKCDGLMaJw==">CgMxLjAyCGguZ2pkZ3hzMgloLjMwajB6bGwyCWguMWZvYjl0ZTgAciExZjB0UmVsSmdqbXJUR01fYkZUSWVSQjZORVU2WTVnWWk=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4587</Words>
  <Characters>27523</Characters>
  <Application>Microsoft Office Word</Application>
  <DocSecurity>0</DocSecurity>
  <Lines>229</Lines>
  <Paragraphs>64</Paragraphs>
  <ScaleCrop>false</ScaleCrop>
  <Company/>
  <LinksUpToDate>false</LinksUpToDate>
  <CharactersWithSpaces>32046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Kijewska</dc:creator>
  <cp:lastModifiedBy>Miles</cp:lastModifiedBy>
  <cp:revision>3</cp:revision>
  <dcterms:created xsi:type="dcterms:W3CDTF">2022-07-10T21:22:00Z</dcterms:created>
  <dcterms:modified xsi:type="dcterms:W3CDTF">2023-06-23T08:51:00Z</dcterms:modified>
</cp:coreProperties>
</file>